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6" w:rsidRDefault="00460DE6" w:rsidP="00460D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услуги: охрана</w:t>
      </w:r>
    </w:p>
    <w:p w:rsidR="00460DE6" w:rsidRDefault="00460DE6" w:rsidP="00460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DE6" w:rsidRDefault="00460DE6" w:rsidP="00460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Дополнительные услуги (сверх минимального перечня услуг и работ по содержанию и ремонту общего имущества) могут быть включены в договор управления по решению общего собрания собственников помещений в МКД. Именно на этом основании было признано законным выставление к оплате услуги по охране двора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АС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от 30.03.2016 N Ф06-7107/2016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делу N А65-18528/2015 и Апелляционном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определении</w:t>
        </w:r>
      </w:hyperlink>
      <w:r>
        <w:rPr>
          <w:rFonts w:ascii="Arial" w:hAnsi="Arial" w:cs="Arial"/>
          <w:sz w:val="20"/>
          <w:szCs w:val="20"/>
        </w:rPr>
        <w:t xml:space="preserve"> Верховного Суда Республики Татарстан от 23.01.2014 N 33-727/2014. Обратим внимание, что решение общего собрания собственников помещений о введении новой услуги по охране и взимании платы за нее (как составляющей платы за содержание жилого помещения) было проверено на предмет законности судом общей юрисдикции.</w:t>
      </w:r>
    </w:p>
    <w:p w:rsidR="00460DE6" w:rsidRDefault="00460DE6" w:rsidP="00460D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свою очередь, в свежем судебном акте, казалось бы, небольшая оплошность УК сыграла роковую роль. Так, решением общего собрания собственников помещений УК было поручено заключить договор с охранным предприятием на определенных условиях (обход территории не менее двух-трех раз за вечер, выезд по звонку, стоимость услуг - 25 руб. с квартиры, включая собственников нежилых помещений). Однако требование о предварительном утверждении договора советом МКД (до его заключения), зафиксированное в решении общего собрания, не было выполнено. Именно это обстоятельство стало основанием для выдачи законного предписания о прекращении начисления сумм за охрану и проведении перерасчета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АС ЗСО от 14.04.2017 по делу N А67-1971/2016). Кстати, проверка была инициирована обращением недовольного потребителя.</w:t>
      </w:r>
    </w:p>
    <w:p w:rsidR="00C275DC" w:rsidRDefault="00C275DC">
      <w:pPr>
        <w:pStyle w:val="ConsPlusNormal"/>
        <w:jc w:val="both"/>
        <w:outlineLvl w:val="0"/>
        <w:rPr>
          <w:lang w:val="en-US"/>
        </w:rPr>
      </w:pPr>
    </w:p>
    <w:p w:rsidR="00460DE6" w:rsidRPr="00460DE6" w:rsidRDefault="00460DE6">
      <w:pPr>
        <w:pStyle w:val="ConsPlusNormal"/>
        <w:jc w:val="both"/>
        <w:outlineLvl w:val="0"/>
        <w:rPr>
          <w:lang w:val="en-US"/>
        </w:rPr>
      </w:pPr>
      <w:bookmarkStart w:id="0" w:name="_GoBack"/>
      <w:bookmarkEnd w:id="0"/>
    </w:p>
    <w:p w:rsidR="00C275DC" w:rsidRDefault="00C275DC">
      <w:pPr>
        <w:pStyle w:val="ConsPlusNormal"/>
        <w:jc w:val="right"/>
      </w:pPr>
      <w:r>
        <w:t>"Жилищно-коммунальное хозяйство: бухгалтерский учет и налогообложение", 2018, N 7</w:t>
      </w:r>
    </w:p>
    <w:p w:rsidR="00C275DC" w:rsidRDefault="00C275DC">
      <w:pPr>
        <w:pStyle w:val="ConsPlusNormal"/>
        <w:jc w:val="both"/>
      </w:pPr>
    </w:p>
    <w:p w:rsidR="00C275DC" w:rsidRDefault="00C275DC">
      <w:pPr>
        <w:pStyle w:val="ConsPlusTitle"/>
        <w:jc w:val="center"/>
      </w:pPr>
      <w:r>
        <w:t>УСЛУГИ ЧАСТНЫХ ОХРАННЫХ ПРЕДПРИЯТИЙ В МКД.</w:t>
      </w:r>
    </w:p>
    <w:p w:rsidR="00C275DC" w:rsidRDefault="00C275DC">
      <w:pPr>
        <w:pStyle w:val="ConsPlusTitle"/>
        <w:jc w:val="center"/>
      </w:pPr>
      <w:r>
        <w:t>МОЖНО ЛИ ОТКАЗАТЬСЯ ОТ ОПЛАТЫ?</w:t>
      </w:r>
    </w:p>
    <w:p w:rsidR="00C275DC" w:rsidRDefault="00C275DC">
      <w:pPr>
        <w:pStyle w:val="ConsPlusNormal"/>
        <w:jc w:val="both"/>
      </w:pPr>
    </w:p>
    <w:p w:rsidR="00C275DC" w:rsidRDefault="00C275DC">
      <w:pPr>
        <w:pStyle w:val="ConsPlusNormal"/>
        <w:ind w:firstLine="540"/>
        <w:jc w:val="both"/>
      </w:pPr>
      <w:r>
        <w:t>Довольно часто в настоящее время появляется острая необходимость заключения договора на охрану территории МКД. Причин может быть много, но по факту возникает закономерный вопрос о том, кто должен оплачивать услуги частных охранных компаний: собственники помещений в МКД либо управляющая организация?</w:t>
      </w:r>
    </w:p>
    <w:p w:rsidR="00C275DC" w:rsidRDefault="00C275DC">
      <w:pPr>
        <w:pStyle w:val="ConsPlusNormal"/>
        <w:jc w:val="both"/>
      </w:pPr>
    </w:p>
    <w:p w:rsidR="00C275DC" w:rsidRDefault="00C275DC">
      <w:pPr>
        <w:pStyle w:val="ConsPlusNormal"/>
        <w:ind w:firstLine="540"/>
        <w:jc w:val="both"/>
      </w:pPr>
      <w:r>
        <w:t>Постараемся ответить кратко, но содержательно, уточнив задачу. Предположим, один из собственников жилого (нежилого) помещения в МКД не подписал непосредственно договор управления с УК и подал заявление об отказе от внесения платы за охрану. У УК возникает вопрос о том, каким образом она должна производить начисления за охрану: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а) или начислять плату всем собственникам, в том числе отказавшемуся от ее внесения;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б) или распределять стоимость услуги между оставшимися собственниками.</w:t>
      </w:r>
    </w:p>
    <w:p w:rsidR="00C275DC" w:rsidRDefault="00C275DC">
      <w:pPr>
        <w:pStyle w:val="ConsPlusNormal"/>
        <w:spacing w:before="220"/>
        <w:ind w:firstLine="540"/>
        <w:jc w:val="both"/>
      </w:pPr>
      <w:proofErr w:type="gramStart"/>
      <w:r>
        <w:t xml:space="preserve">При ответе на данный вопрос в первую очередь необходимо отметить, что в силу </w:t>
      </w:r>
      <w:hyperlink r:id="rId8" w:history="1">
        <w:r>
          <w:rPr>
            <w:color w:val="0000FF"/>
          </w:rPr>
          <w:t>ст. 10</w:t>
        </w:r>
      </w:hyperlink>
      <w:r>
        <w:t xml:space="preserve"> ЖК РФ 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которые, хотя и не предусмотрены такими актами, в силу общих начал и смысла жилищного законодательства порождают жилищные права и</w:t>
      </w:r>
      <w:proofErr w:type="gramEnd"/>
      <w:r>
        <w:t xml:space="preserve"> обязанности.</w:t>
      </w:r>
    </w:p>
    <w:p w:rsidR="00C275DC" w:rsidRDefault="00C275DC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ст. 158</w:t>
        </w:r>
      </w:hyperlink>
      <w:r>
        <w:t xml:space="preserve"> ЖК РФ собственник помещения в МКД обязан нести расходы на содержание принадлежащего ему помещения, а также участвовать в осуществлении расходов на содержание общего имущества в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  <w:proofErr w:type="gramEnd"/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ч. 2 ст. 161</w:t>
        </w:r>
      </w:hyperlink>
      <w:r>
        <w:t xml:space="preserve"> ЖК РФ собственники помещений в МКД обязаны выбрать один из способов управления домом, например управление УК.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lastRenderedPageBreak/>
        <w:t>Следовательно, собственники помещений должны осуществить свое право и одновременно выполнить свою обязанность по выбору способа управления МКД.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Таким способом управления является, например, заключение договора с управляющей организацией.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Исходя из </w:t>
      </w:r>
      <w:hyperlink r:id="rId11" w:history="1">
        <w:r>
          <w:rPr>
            <w:color w:val="0000FF"/>
          </w:rPr>
          <w:t>ч. 1 ст. 162</w:t>
        </w:r>
      </w:hyperlink>
      <w:r>
        <w:t xml:space="preserve"> ЖК РФ, при выборе управляющей организации общим собранием собственников помещений в МКД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доме, обладающие более 50% голосов от общего числа голосов собственников, выступают в качестве одной стороны заключаемого договора.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ч. 3 ст. 161</w:t>
        </w:r>
      </w:hyperlink>
      <w:r>
        <w:t xml:space="preserve"> ЖК РФ способ управления МКД выбирается на общем собрании собственников помещений в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Таким образом, заключение договора управления при наличии надлежащим образом оформленного и не оспоренного в судебном порядке решения общего собрания является обязательным для всех собственников. Отказ от подписания договора управления не может расцениваться как основание для отказа в выставлении собственнику квитанций на оплату содержания жилого помещения и коммунальных услуг.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Однако стоит отметить следующее. Услуги частных охранных организаций по осуществлению охраны придомовой территории в современной судебной практике не всегда относят к услугам, необходимым для надлежащего содержания общего имущества в МКД. Правда, превалирующее число судебных решений все же вынесено в пользу управляющих компаний.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13" w:history="1">
        <w:r>
          <w:rPr>
            <w:color w:val="0000FF"/>
          </w:rPr>
          <w:t>ст. 44</w:t>
        </w:r>
      </w:hyperlink>
      <w:r>
        <w:t xml:space="preserve"> ЖК РФ, общее собрание собственников помещений в МКД является органом управления домом. К компетенции общего собрания собственников помещений в МКД относится, кроме всего прочего, принятие решений о текущем ремонте общего имущества в доме.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ч. 5 ст. 46</w:t>
        </w:r>
      </w:hyperlink>
      <w:r>
        <w:t xml:space="preserve"> ЖК РФ решение общего собрания собственников помещений в МКД, принятое в установленном порядке по вопросам, отнесенным к компетенции такого собрания, является обязательным для всех собственников помещений в доме, в том числе для тех собственников, которые не участвовали в голосовании.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5" w:history="1">
        <w:r>
          <w:rPr>
            <w:color w:val="0000FF"/>
          </w:rPr>
          <w:t>ст. 181.3</w:t>
        </w:r>
      </w:hyperlink>
      <w:r>
        <w:t xml:space="preserve"> ГК РФ решение собрания недействительно по основаниям, установленным Гражданским кодексом или иными законами, в силу признания его таковым судом (оспоримое решение) или независимо от такого признания (ничтожное решение).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ст. 181.5</w:t>
        </w:r>
      </w:hyperlink>
      <w:r>
        <w:t xml:space="preserve"> ГК РФ, если иное не предусмотрено законом, решение собрания ничтожно в случае, если оно: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- принято по вопросу, не включенному в повестку дня, за исключением случая, если на собрании присутствовали все участники соответствующего гражданско-правового сообщества;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- принято при отсутствии необходимого кворума;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- принято по вопросу, не относящемуся к компетенции собрания;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- противоречит основам правопорядка или нравственности.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Если решение общего собрания собственников помещений в МКД не было оспорено в </w:t>
      </w:r>
      <w:r>
        <w:lastRenderedPageBreak/>
        <w:t xml:space="preserve">судебном порядке, каждый собственник обязан исполнять его. Это </w:t>
      </w:r>
      <w:proofErr w:type="gramStart"/>
      <w:r>
        <w:t>относится</w:t>
      </w:r>
      <w:proofErr w:type="gramEnd"/>
      <w:r>
        <w:t xml:space="preserve"> в том числе к подписанию договора управления МКД, в котором должны быть указаны объемы оказываемых услуг и порядок определения цены договора, размера платы за содержание и ремонт жилого помещения и размера платы за коммунальные услуги.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Что касается судебной практики, в </w:t>
      </w:r>
      <w:hyperlink r:id="rId17" w:history="1">
        <w:r>
          <w:rPr>
            <w:color w:val="0000FF"/>
          </w:rPr>
          <w:t>Определении</w:t>
        </w:r>
      </w:hyperlink>
      <w:r>
        <w:t xml:space="preserve"> Санкт-Петербургского городского суда от 29.07.2010 N 33-8858/2010, например, указано следующее.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Поскольку фактически услуги по охране оказываются, все виды указанных платежей направлены на сохранность имущества собственников квартир, обеспечение нормальной работы, связанной с техническим обслуживанием и эксплуатацией общего имущества собственников дома, поэтому истица должна нести расходы, которые несут члены ТСЖ, также являющиеся собственниками помещений в МКД.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Однако существует и иная правовая позиция. Отдельно стоит обратить внимание на мнение Государственной жилищной инспекции, выраженное в Письме от 21.10.2014 N 39Исх-3367/39-03-02. Она отметила, что услуги по охране не названы в </w:t>
      </w:r>
      <w:hyperlink r:id="rId18" w:history="1">
        <w:r>
          <w:rPr>
            <w:color w:val="0000FF"/>
          </w:rPr>
          <w:t>п. 11</w:t>
        </w:r>
      </w:hyperlink>
      <w:r>
        <w:t xml:space="preserve"> Правил содержания общего имущества в МКД </w:t>
      </w:r>
      <w:hyperlink w:anchor="P33" w:history="1">
        <w:r>
          <w:rPr>
            <w:color w:val="0000FF"/>
          </w:rPr>
          <w:t>&lt;1&gt;</w:t>
        </w:r>
      </w:hyperlink>
      <w:r>
        <w:t xml:space="preserve"> и Минимальном </w:t>
      </w:r>
      <w:hyperlink r:id="rId19" w:history="1">
        <w:r>
          <w:rPr>
            <w:color w:val="0000FF"/>
          </w:rPr>
          <w:t>перечне</w:t>
        </w:r>
      </w:hyperlink>
      <w:r>
        <w:t xml:space="preserve"> услуг и работ, необходимых для обеспечения надлежащего содержания общего имущества в МКД </w:t>
      </w:r>
      <w:hyperlink w:anchor="P34" w:history="1">
        <w:r>
          <w:rPr>
            <w:color w:val="0000FF"/>
          </w:rPr>
          <w:t>&lt;2&gt;</w:t>
        </w:r>
      </w:hyperlink>
      <w:r>
        <w:t>, а значит, являются дополнительными.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5DC" w:rsidRDefault="00C275DC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&lt;1&gt; Утверждены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13.08.2006 N 491.</w:t>
      </w:r>
    </w:p>
    <w:p w:rsidR="00C275DC" w:rsidRDefault="00C275DC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&lt;2&gt; </w:t>
      </w:r>
      <w:proofErr w:type="gramStart"/>
      <w:r>
        <w:t>Утвержден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03.04.2013 N 290.</w:t>
      </w:r>
    </w:p>
    <w:p w:rsidR="00C275DC" w:rsidRDefault="00C275DC">
      <w:pPr>
        <w:pStyle w:val="ConsPlusNormal"/>
        <w:jc w:val="both"/>
      </w:pPr>
    </w:p>
    <w:p w:rsidR="00C275DC" w:rsidRDefault="00C275DC">
      <w:pPr>
        <w:pStyle w:val="ConsPlusNormal"/>
        <w:ind w:firstLine="540"/>
        <w:jc w:val="both"/>
      </w:pPr>
      <w:r>
        <w:t>Включение в платежку платы за дополнительные услуги (пользование антенной, охрану и т.д.) возможно лишь при наличии: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а) решения общего собрания собственников об установлении размера платы за содержание и ремонт общего имущества и выделении в едином платежном документе отдельной строкой платы за пользование антенной (охрану и т.п.) в определенном размере;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б) договора каждого жильца с организацией, оказывающей дополнительные услуги.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>Во всех других случаях дополнительные услуги считаются навязанными, и ГЖИ полагает, что гражданин может от них отказаться.</w:t>
      </w:r>
    </w:p>
    <w:p w:rsidR="00C275DC" w:rsidRDefault="00C275DC">
      <w:pPr>
        <w:pStyle w:val="ConsPlusNormal"/>
        <w:spacing w:before="220"/>
        <w:ind w:firstLine="540"/>
        <w:jc w:val="both"/>
      </w:pPr>
      <w:proofErr w:type="gramStart"/>
      <w:r>
        <w:t>Можно также привести в качестве примера Решение Железнодорожного районного суда г. Хабаровска Хабаровского края от 14.07.2015 по делу N 2-2825/2015, в котором суд признал незаконным начисление в квитанциях управляющей компанией истцам платы за услугу видеонаблюдения и обязал УК прекратить ее дальнейшее начисление, производимое на основании решения общего собрания собственников помещений в МКД.</w:t>
      </w:r>
      <w:proofErr w:type="gramEnd"/>
    </w:p>
    <w:p w:rsidR="00C275DC" w:rsidRDefault="00C275DC">
      <w:pPr>
        <w:pStyle w:val="ConsPlusNormal"/>
        <w:spacing w:before="220"/>
        <w:ind w:firstLine="540"/>
        <w:jc w:val="both"/>
      </w:pPr>
      <w:r>
        <w:t>Суд отметил, что в представленном протоколе решения общего собрания от 26.01.2013 нет указания на установление собственниками стоимости услуги видеонаблюдения. Получается, решение об определении тарифа на услугу в предусмотренном порядке не принималось, поэтому заявленные требования в части начислений за услугу видеонаблюдения удовлетворены.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Наиболее обоснованной и логичной можно считать позицию, которая изложена в Апелляционном </w:t>
      </w:r>
      <w:hyperlink r:id="rId22" w:history="1">
        <w:r>
          <w:rPr>
            <w:color w:val="0000FF"/>
          </w:rPr>
          <w:t>определении</w:t>
        </w:r>
      </w:hyperlink>
      <w:r>
        <w:t xml:space="preserve"> Московского городского суда от 14.03.2018 по делу N 33-10396/18.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Руководствуясь положениями </w:t>
      </w:r>
      <w:hyperlink r:id="rId23" w:history="1">
        <w:r>
          <w:rPr>
            <w:color w:val="0000FF"/>
          </w:rPr>
          <w:t>ст. 30</w:t>
        </w:r>
      </w:hyperlink>
      <w:r>
        <w:t xml:space="preserve">, </w:t>
      </w:r>
      <w:hyperlink r:id="rId24" w:history="1">
        <w:r>
          <w:rPr>
            <w:color w:val="0000FF"/>
          </w:rPr>
          <w:t>46</w:t>
        </w:r>
      </w:hyperlink>
      <w:r>
        <w:t xml:space="preserve">, </w:t>
      </w:r>
      <w:hyperlink r:id="rId25" w:history="1">
        <w:r>
          <w:rPr>
            <w:color w:val="0000FF"/>
          </w:rPr>
          <w:t>154</w:t>
        </w:r>
      </w:hyperlink>
      <w:r>
        <w:t xml:space="preserve"> ЖК РФ, суд первой инстанции пришел к обоснованному выводу о том, что услуга "охрана" не относится к коммунальным услугам, перечисленным в </w:t>
      </w:r>
      <w:hyperlink r:id="rId26" w:history="1">
        <w:r>
          <w:rPr>
            <w:color w:val="0000FF"/>
          </w:rPr>
          <w:t>ч. 4 ст. 154</w:t>
        </w:r>
      </w:hyperlink>
      <w:r>
        <w:t xml:space="preserve"> ЖК РФ, а также не относится к расходам по содержанию и ремонту жилого помещения. Услуга по охране не является в силу закона обязательной к оплате </w:t>
      </w:r>
      <w:r>
        <w:lastRenderedPageBreak/>
        <w:t>собственниками жилых помещений в МКД, данный вид услуги может быть оказан только на основании решения общего собрания собственников жилых помещений.</w:t>
      </w:r>
    </w:p>
    <w:p w:rsidR="00C275DC" w:rsidRDefault="00C275DC">
      <w:pPr>
        <w:pStyle w:val="ConsPlusNormal"/>
        <w:spacing w:before="220"/>
        <w:ind w:firstLine="540"/>
        <w:jc w:val="both"/>
      </w:pPr>
      <w:r>
        <w:t xml:space="preserve">С учетом анализа вышеуказанных правовых норм и судебной практики можно прийти к следующему выводу. </w:t>
      </w:r>
      <w:proofErr w:type="gramStart"/>
      <w:r>
        <w:t xml:space="preserve">Если на общем собрании собственников помещений в МКД было принято решение, которое не было оспорено в судебном порядке на основании </w:t>
      </w:r>
      <w:hyperlink r:id="rId27" w:history="1">
        <w:r>
          <w:rPr>
            <w:color w:val="0000FF"/>
          </w:rPr>
          <w:t>ст. 181.3</w:t>
        </w:r>
      </w:hyperlink>
      <w:r>
        <w:t xml:space="preserve">, </w:t>
      </w:r>
      <w:hyperlink r:id="rId28" w:history="1">
        <w:r>
          <w:rPr>
            <w:color w:val="0000FF"/>
          </w:rPr>
          <w:t>181.5</w:t>
        </w:r>
      </w:hyperlink>
      <w:r>
        <w:t xml:space="preserve"> ГК РФ и в котором были указаны объемы и характер </w:t>
      </w:r>
      <w:r>
        <w:rPr>
          <w:b/>
        </w:rPr>
        <w:t>дополнительных</w:t>
      </w:r>
      <w:r>
        <w:t xml:space="preserve"> услуг по охране, была установлена стоимость этих услуг, все собственники без исключения на основании </w:t>
      </w:r>
      <w:hyperlink r:id="rId29" w:history="1">
        <w:r>
          <w:rPr>
            <w:color w:val="0000FF"/>
          </w:rPr>
          <w:t>ч. 5 ст. 46</w:t>
        </w:r>
      </w:hyperlink>
      <w:r>
        <w:t xml:space="preserve"> ЖК РФ обязаны соблюдать данное решение.</w:t>
      </w:r>
      <w:proofErr w:type="gramEnd"/>
    </w:p>
    <w:p w:rsidR="00C275DC" w:rsidRDefault="00C275DC">
      <w:pPr>
        <w:pStyle w:val="ConsPlusNormal"/>
        <w:spacing w:before="220"/>
        <w:ind w:firstLine="540"/>
        <w:jc w:val="both"/>
      </w:pPr>
      <w:r>
        <w:t>Кроме всего прочего, собственники, как было отмечено выше, должны подписать договор управления МКД с указанными условиями. Собственник имеет право только оспорить решение общего собрания и признать его недействительным. Для этого нужны серьезные основания. Поэтому необходимо начислять плату за услугу по охране всем собственникам, в том числе отказавшемуся от ее внесения.</w:t>
      </w:r>
    </w:p>
    <w:p w:rsidR="00C275DC" w:rsidRDefault="00C275DC">
      <w:pPr>
        <w:pStyle w:val="ConsPlusNormal"/>
        <w:jc w:val="both"/>
      </w:pPr>
    </w:p>
    <w:p w:rsidR="00C275DC" w:rsidRDefault="00C275DC">
      <w:pPr>
        <w:pStyle w:val="ConsPlusNormal"/>
        <w:jc w:val="right"/>
      </w:pPr>
      <w:r>
        <w:t>Д.О. Семенов</w:t>
      </w:r>
    </w:p>
    <w:p w:rsidR="00C275DC" w:rsidRDefault="00C275DC">
      <w:pPr>
        <w:pStyle w:val="ConsPlusNormal"/>
        <w:jc w:val="right"/>
      </w:pPr>
      <w:r>
        <w:t>Юрисконсульт</w:t>
      </w:r>
    </w:p>
    <w:p w:rsidR="00C275DC" w:rsidRDefault="00C275DC">
      <w:pPr>
        <w:pStyle w:val="ConsPlusNormal"/>
        <w:jc w:val="right"/>
      </w:pPr>
      <w:proofErr w:type="gramStart"/>
      <w:r>
        <w:t>КГ</w:t>
      </w:r>
      <w:proofErr w:type="gramEnd"/>
      <w:r>
        <w:t xml:space="preserve"> "</w:t>
      </w:r>
      <w:proofErr w:type="spellStart"/>
      <w:r>
        <w:t>Аюдар</w:t>
      </w:r>
      <w:proofErr w:type="spellEnd"/>
      <w:r>
        <w:t>"</w:t>
      </w:r>
    </w:p>
    <w:p w:rsidR="00C275DC" w:rsidRDefault="00C275DC">
      <w:pPr>
        <w:pStyle w:val="ConsPlusNormal"/>
      </w:pPr>
      <w:r>
        <w:t>Подписано в печать</w:t>
      </w:r>
    </w:p>
    <w:p w:rsidR="00C275DC" w:rsidRDefault="00C275DC" w:rsidP="00C275DC">
      <w:pPr>
        <w:pStyle w:val="ConsPlusNormal"/>
        <w:spacing w:before="220"/>
      </w:pPr>
      <w:r>
        <w:t>06.07.2018</w:t>
      </w:r>
    </w:p>
    <w:sectPr w:rsidR="00C275DC" w:rsidSect="00F4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C"/>
    <w:rsid w:val="003E22FD"/>
    <w:rsid w:val="00460DE6"/>
    <w:rsid w:val="00C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9DCBD35ADEC5ED864BC7B9887E73623F7835DED91B8641ED29D0796CB4C5FA56C5B9BA97C5B108C437F18010A4BErE70H" TargetMode="External"/><Relationship Id="rId13" Type="http://schemas.openxmlformats.org/officeDocument/2006/relationships/hyperlink" Target="consultantplus://offline/ref=466929AC753DE0D03C589DCBD35ADEC5ED864BC7B9887E73623F7835DED91B8641ED29D0796CB7C3FA56C5B9BA97C5B108C437F18010A4BErE70H" TargetMode="External"/><Relationship Id="rId18" Type="http://schemas.openxmlformats.org/officeDocument/2006/relationships/hyperlink" Target="consultantplus://offline/ref=466929AC753DE0D03C589DCBD35ADEC5ED8646C5BD8B7E73623F7835DED91B8641ED29D0796CB4C6FD56C5B9BA97C5B108C437F18010A4BErE70H" TargetMode="External"/><Relationship Id="rId26" Type="http://schemas.openxmlformats.org/officeDocument/2006/relationships/hyperlink" Target="consultantplus://offline/ref=466929AC753DE0D03C589DCBD35ADEC5ED864BC7B9887E73623F7835DED91B8641ED29D77B64BF97AD19C4E5FFC4D6B10FC434F09Fr17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6929AC753DE0D03C589DCBD35ADEC5ED8646C5BE8B7E73623F7835DED91B8641ED29D0796CB4C3FA56C5B9BA97C5B108C437F18010A4BErE70H" TargetMode="External"/><Relationship Id="rId7" Type="http://schemas.openxmlformats.org/officeDocument/2006/relationships/hyperlink" Target="consultantplus://offline/ref=6407E931E1B2AEDF63CDC1E315C1FF6EF5E5068EE73100CDA27C3511D0D7D8855C919FC86059AC23BC64093189D135H" TargetMode="External"/><Relationship Id="rId12" Type="http://schemas.openxmlformats.org/officeDocument/2006/relationships/hyperlink" Target="consultantplus://offline/ref=466929AC753DE0D03C589DCBD35ADEC5ED864BC7B9887E73623F7835DED91B8641ED29D47238E587A95090EEE0C3C9AE0CDA37rF78H" TargetMode="External"/><Relationship Id="rId17" Type="http://schemas.openxmlformats.org/officeDocument/2006/relationships/hyperlink" Target="consultantplus://offline/ref=466929AC753DE0D03C5882C5D73B8B96E28E42CBBE897E73623F7835DED91B8653ED71DC786AAAC2FD4393E8FFrC7AH" TargetMode="External"/><Relationship Id="rId25" Type="http://schemas.openxmlformats.org/officeDocument/2006/relationships/hyperlink" Target="consultantplus://offline/ref=466929AC753DE0D03C589DCBD35ADEC5ED864BC7B9887E73623F7835DED91B8641ED29D0796CBDC3FC56C5B9BA97C5B108C437F18010A4BErE7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6929AC753DE0D03C589DCBD35ADEC5ED864AC5BB837E73623F7835DED91B8641ED29D57D65BF97AD19C4E5FFC4D6B10FC434F09Fr17AH" TargetMode="External"/><Relationship Id="rId20" Type="http://schemas.openxmlformats.org/officeDocument/2006/relationships/hyperlink" Target="consultantplus://offline/ref=466929AC753DE0D03C589DCBD35ADEC5ED8646C5BD8B7E73623F7835DED91B8641ED29D0796CB4C3FA56C5B9BA97C5B108C437F18010A4BErE70H" TargetMode="External"/><Relationship Id="rId29" Type="http://schemas.openxmlformats.org/officeDocument/2006/relationships/hyperlink" Target="consultantplus://offline/ref=466929AC753DE0D03C589DCBD35ADEC5ED864BC7B9887E73623F7835DED91B8641ED29D0796CB7C0FC56C5B9BA97C5B108C437F18010A4BErE7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7E931E1B2AEDF63CDC1F616ACAA3DF9E70687E73B0290A8746C1DD2D0D7DA59848E906C5EB43CBC7B1533881CD63DH" TargetMode="External"/><Relationship Id="rId11" Type="http://schemas.openxmlformats.org/officeDocument/2006/relationships/hyperlink" Target="consultantplus://offline/ref=466929AC753DE0D03C589DCBD35ADEC5ED864BC7B9887E73623F7835DED91B8641ED29D57D6DBF97AD19C4E5FFC4D6B10FC434F09Fr17AH" TargetMode="External"/><Relationship Id="rId24" Type="http://schemas.openxmlformats.org/officeDocument/2006/relationships/hyperlink" Target="consultantplus://offline/ref=466929AC753DE0D03C589DCBD35ADEC5ED864BC7B9887E73623F7835DED91B8641ED29D0796CB7C1F956C5B9BA97C5B108C437F18010A4BErE70H" TargetMode="External"/><Relationship Id="rId5" Type="http://schemas.openxmlformats.org/officeDocument/2006/relationships/hyperlink" Target="consultantplus://offline/ref=6407E931E1B2AEDF63CDC1E910C1FF6EF5E20189E43100CDA27C3511D0D7D8855C919FC86059AC23BC64093189D135H" TargetMode="External"/><Relationship Id="rId15" Type="http://schemas.openxmlformats.org/officeDocument/2006/relationships/hyperlink" Target="consultantplus://offline/ref=466929AC753DE0D03C589DCBD35ADEC5ED864AC5BB837E73623F7835DED91B8641ED29D57A6EBF97AD19C4E5FFC4D6B10FC434F09Fr17AH" TargetMode="External"/><Relationship Id="rId23" Type="http://schemas.openxmlformats.org/officeDocument/2006/relationships/hyperlink" Target="consultantplus://offline/ref=466929AC753DE0D03C589DCBD35ADEC5ED864BC7B9887E73623F7835DED91B8641ED29D0796CB6C0F856C5B9BA97C5B108C437F18010A4BErE70H" TargetMode="External"/><Relationship Id="rId28" Type="http://schemas.openxmlformats.org/officeDocument/2006/relationships/hyperlink" Target="consultantplus://offline/ref=466929AC753DE0D03C589DCBD35ADEC5ED864AC5BB837E73623F7835DED91B8641ED29D57D65BF97AD19C4E5FFC4D6B10FC434F09Fr17AH" TargetMode="External"/><Relationship Id="rId10" Type="http://schemas.openxmlformats.org/officeDocument/2006/relationships/hyperlink" Target="consultantplus://offline/ref=466929AC753DE0D03C589DCBD35ADEC5ED864BC7B9887E73623F7835DED91B8641ED29D0796CBDC4F956C5B9BA97C5B108C437F18010A4BErE70H" TargetMode="External"/><Relationship Id="rId19" Type="http://schemas.openxmlformats.org/officeDocument/2006/relationships/hyperlink" Target="consultantplus://offline/ref=466929AC753DE0D03C589DCBD35ADEC5ED8646C5BE8B7E73623F7835DED91B8641ED29D0796CB4C2FE56C5B9BA97C5B108C437F18010A4BErE70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929AC753DE0D03C589DCBD35ADEC5ED864BC7B9887E73623F7835DED91B8641ED29D0796DB1C3F956C5B9BA97C5B108C437F18010A4BErE70H" TargetMode="External"/><Relationship Id="rId14" Type="http://schemas.openxmlformats.org/officeDocument/2006/relationships/hyperlink" Target="consultantplus://offline/ref=466929AC753DE0D03C589DCBD35ADEC5ED864BC7B9887E73623F7835DED91B8641ED29D0796CB7C0FC56C5B9BA97C5B108C437F18010A4BErE70H" TargetMode="External"/><Relationship Id="rId22" Type="http://schemas.openxmlformats.org/officeDocument/2006/relationships/hyperlink" Target="consultantplus://offline/ref=466929AC753DE0D03C589CCBD6238B96E28E46C0BB827320353D2960D0DC13D609FD75952C61B5C5E25C90F6FCC2C9rB78H" TargetMode="External"/><Relationship Id="rId27" Type="http://schemas.openxmlformats.org/officeDocument/2006/relationships/hyperlink" Target="consultantplus://offline/ref=466929AC753DE0D03C589DCBD35ADEC5ED864AC5BB837E73623F7835DED91B8641ED29D57A6EBF97AD19C4E5FFC4D6B10FC434F09Fr17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2189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Михалочкина Елена Ивановна</dc:creator>
  <cp:lastModifiedBy>Михалочкина Елена Ивановна</cp:lastModifiedBy>
  <cp:revision>2</cp:revision>
  <dcterms:created xsi:type="dcterms:W3CDTF">2018-11-16T07:59:00Z</dcterms:created>
  <dcterms:modified xsi:type="dcterms:W3CDTF">2018-11-20T10:11:00Z</dcterms:modified>
</cp:coreProperties>
</file>